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COSTING CALCULATION SHEET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PRODUCT: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PRODUCT NAME=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PRODUCT CATEGORY=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TARIC HS CODE=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DUTIES % =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TOTAL PURCHASE Qty=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FACTORY: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FACTORY NAME=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EXACT ADDRESS FACTORY-PICK-UP=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CONTACT NAME=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TEL-MAIL DETAILS=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NAME OF THEIR BANK=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PAYMENT MODALITY (LC, Stand by LC?) =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CONTRACT TYPE=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BUYING PRICE: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EXWORKS PURCHASE PRICE /QUANTITY PCS-Tonne=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PURCHASE PRICE FOB PORT /QUANTITY PCS-Tonne=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PURCHASE PRICE DDP BE or FR /QUANTITY PCS-Tonne=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COST IF EXTERNAL COMISSION=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PACKINGINFO: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CARTON-BAG QUANTITY=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CARTON-BAG SIZE=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WEIGHT G.W. CARTON-BAG=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QUANTITY OF CARTON-BAGS ON PALLET =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PALLET SIZE=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WEIGHT G.W. PALLET=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AMOUNT: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TOTAL QUANTITY PER TRANSPORT=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TOTAL WEIGHT PER TRANSPORT=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CBM VOLUME BY TRANSPORT=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CONTAINER TYPE (20', 40' or 40HQ)=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TRANSPORTATION: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TYPE OF TRANSPORT (BOAT/TRUCK/TRAIN) =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FULL CONTAINER FREQUENCY/WEEK =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FULL CONTAINER FREQUENCY/MONTH =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DEPARTURE PORT =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PORT OF ARRIVAL =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FINAL DELIVERY ZIP CODE=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CUSTOMER: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CUSTOMER NAME=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SALE CIF PORT or DDP WAREHOUSE CUSTOMER=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FINAL DELIVERY ADDRESS=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PAYMENT TERMS=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